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จด VAT และเอกสารที่ต้องเตรียม</w:t>
      </w:r>
    </w:p>
    <w:p>
      <w:pPr>
        <w:pStyle w:val="Subtitle"/>
      </w:pPr>
      <w:r>
        <w:t xml:space="preserve">รายการเอกสารและจุดตรวจเบื้องต้นก่อนเข้าระบบ VAT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แยกเอกสารตามเดือนภาษี</w:t>
      </w:r>
    </w:p>
    <w:p>
      <w:pPr>
        <w:pStyle w:val="Body"/>
      </w:pPr>
      <w:r>
        <w:t xml:space="preserve">☐ ตรวจเลขประจำตัวผู้เสียภาษีและสาขา</w:t>
      </w:r>
    </w:p>
    <w:p>
      <w:pPr>
        <w:pStyle w:val="Body"/>
      </w:pPr>
      <w:r>
        <w:t xml:space="preserve">☐ เทียบยอดกับ statement และรายงานขายซื้อ</w:t>
      </w:r>
    </w:p>
    <w:p>
      <w:pPr>
        <w:pStyle w:val="Body"/>
      </w:pPr>
      <w:r>
        <w:t xml:space="preserve">☐ เก็บหลักฐานยื่นแบบและชำระเงินไว้ท้ายชุด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จด VAT และเอกสารที่ต้องเตรียม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