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เอกสารภาษีรายเดือนก่อนส่งสำนักงานบัญชี</w:t>
      </w:r>
    </w:p>
    <w:p>
      <w:pPr>
        <w:pStyle w:val="Subtitle"/>
      </w:pPr>
      <w:r>
        <w:t xml:space="preserve">ใช้เช็กเอกสารขาย ซื้อ VAT หัก ณ ที่จ่าย และเอกสารธนาคารก่อนส่งสำนักงานบัญชีทุกเดือน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เอกสารภาษีรายเดือนก่อนส่งสำนักงานบัญชี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