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เอกสารนำเข้าสินค้า</w:t>
      </w:r>
    </w:p>
    <w:p>
      <w:pPr>
        <w:pStyle w:val="Subtitle"/>
      </w:pPr>
      <w:r>
        <w:t xml:space="preserve">เช็กรายการ invoice, packing list, bill of lading, ใบขนสินค้า, ใบอนุญาต และเอกสารประกอบก่อนนำเข้า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กำหนดรหัสสินค้าให้สม่ำเสมอ</w:t>
      </w:r>
    </w:p>
    <w:p>
      <w:pPr>
        <w:pStyle w:val="Body"/>
      </w:pPr>
      <w:r>
        <w:t xml:space="preserve">☐ แยกจำนวนรับเข้าและจ่ายออก</w:t>
      </w:r>
    </w:p>
    <w:p>
      <w:pPr>
        <w:pStyle w:val="Body"/>
      </w:pPr>
      <w:r>
        <w:t xml:space="preserve">☐ นับจริงเทียบระบบเป็นรอบ</w:t>
      </w:r>
    </w:p>
    <w:p>
      <w:pPr>
        <w:pStyle w:val="Body"/>
      </w:pPr>
      <w:r>
        <w:t xml:space="preserve">☐ ส่งรายการปรับปรุงให้บัญชีก่อนปิดเดือน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เอกสารนำเข้าสินค้า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