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เอกสารขอสินเชื่อธุรกิจ</w:t>
      </w:r>
    </w:p>
    <w:p>
      <w:pPr>
        <w:pStyle w:val="Subtitle"/>
      </w:pPr>
      <w:r>
        <w:t xml:space="preserve">รายการเอกสารเบื้องต้นสำหรับเตรียมขอสินเชื่อ เช่น งบการเงิน statement ภาษี และแผนธุรกิจ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เอกสารขอสินเชื่อธุรกิจ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