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หนังสือเตือนพนักงาน</w:t>
      </w:r>
    </w:p>
    <w:p>
      <w:pPr>
        <w:pStyle w:val="Subtitle"/>
      </w:pPr>
      <w:r>
        <w:t xml:space="preserve">ใช้เมื่อพนักงานกระทำผิดวินัยหรือไม่ปฏิบัติตามข้อตกลง เป็นหลักฐานสำคัญตามกฎหมายแรงงาน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หนังสือเตือนพนักงาน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