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ตัวอย่างมติกรรมการเพิ่มทุน</w:t>
      </w:r>
    </w:p>
    <w:p>
      <w:pPr>
        <w:pStyle w:val="Subtitle"/>
      </w:pPr>
      <w:r>
        <w:t xml:space="preserve">แบบร่างมติกรรมการสำหรับเพิ่มทุน กำหนดจำนวนหุ้น มูลค่า และเงื่อนไขการชำระเงิน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ตัวอย่างมติกรรมการเพิ่มทุน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